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r>
        <w:br w:type="textWrapping"/>
      </w:r>
      <w:r>
        <w:t>STANDARD SERVICES</w:t>
      </w:r>
    </w:p>
    <w:p>
      <w:pPr>
        <w:pStyle w:val="3"/>
        <w:tabs>
          <w:tab w:val="left" w:pos="2835"/>
        </w:tabs>
        <w:spacing w:before="1200"/>
        <w:ind w:left="2835" w:hanging="2835"/>
        <w:jc w:val="center"/>
        <w:rPr>
          <w:sz w:val="24"/>
          <w:szCs w:val="24"/>
          <w:lang w:val="en-US"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Pr>
          <w:rStyle w:val="31"/>
          <w:b/>
          <w:bCs w:val="0"/>
          <w:sz w:val="24"/>
          <w:szCs w:val="24"/>
          <w:lang w:val="en-US"/>
        </w:rPr>
        <w:t>22-ss001-21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5" w:name="_Hlk11241264"/>
      <w:r>
        <w:rPr>
          <w:rFonts w:ascii="Calibri" w:hAnsi="Calibri" w:cs="Calibri"/>
          <w:lang w:val="en-GB"/>
        </w:rPr>
        <w:t>Evaluation</w:t>
      </w:r>
      <w:bookmarkEnd w:id="5"/>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6" w:name="Technical"/>
      <w:r>
        <w:rPr>
          <w:rFonts w:ascii="Calibri" w:hAnsi="Calibri" w:cs="Calibri"/>
          <w:highlight w:val="yellow"/>
          <w:lang w:val="en-GB"/>
        </w:rPr>
        <w:t>70</w:t>
      </w:r>
      <w:r>
        <w:rPr>
          <w:rFonts w:ascii="Calibri" w:hAnsi="Calibri" w:cs="Calibri"/>
          <w:lang w:val="en-GB"/>
        </w:rPr>
        <w:t xml:space="preserve"> %</w:t>
      </w:r>
      <w:bookmarkEnd w:id="6"/>
      <w:r>
        <w:rPr>
          <w:rFonts w:ascii="Calibri" w:hAnsi="Calibri" w:cs="Calibri"/>
          <w:lang w:val="en-GB"/>
        </w:rPr>
        <w:t xml:space="preserve"> of the score received in the technical evaluation will be added to the obtained financial score, which is maximum </w:t>
      </w:r>
      <w:bookmarkStart w:id="7" w:name="Financial"/>
      <w:r>
        <w:rPr>
          <w:rFonts w:ascii="Calibri" w:hAnsi="Calibri" w:cs="Calibri"/>
          <w:highlight w:val="yellow"/>
          <w:lang w:val="en-GB"/>
        </w:rPr>
        <w:t>30</w:t>
      </w:r>
      <w:r>
        <w:rPr>
          <w:rFonts w:ascii="Calibri" w:hAnsi="Calibri" w:cs="Calibri"/>
          <w:lang w:val="en-GB"/>
        </w:rPr>
        <w:t xml:space="preserve"> points</w:t>
      </w:r>
      <w:bookmarkEnd w:id="7"/>
      <w:r>
        <w:rPr>
          <w:rFonts w:ascii="Calibri" w:hAnsi="Calibri" w:cs="Calibri"/>
          <w:lang w:val="en-GB"/>
        </w:rPr>
        <w:t>, and calculated as described below.</w:t>
      </w:r>
    </w:p>
    <w:p>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8" w:name="_Toc374271006"/>
      <w:r>
        <w:rPr>
          <w:rFonts w:cs="Calibri"/>
          <w:sz w:val="24"/>
          <w:lang w:val="en-GB"/>
        </w:rPr>
        <w:t>Evaluation of technical components</w:t>
      </w:r>
      <w:bookmarkEnd w:id="8"/>
    </w:p>
    <w:p>
      <w:pPr>
        <w:spacing w:after="240"/>
        <w:jc w:val="both"/>
        <w:rPr>
          <w:lang w:val="en-GB"/>
        </w:rPr>
      </w:pPr>
      <w:r>
        <w:rPr>
          <w:rFonts w:ascii="Calibri" w:hAnsi="Calibri" w:cs="Calibri"/>
          <w:lang w:val="en-GB"/>
        </w:rPr>
        <w:t>A Tender will be rejected at this stage if it fails to respond to important aspects of the Terms of Reference</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yellow"/>
                <w:lang w:eastAsia="en-US"/>
              </w:rPr>
            </w:pPr>
            <w:r>
              <w:rPr>
                <w:rFonts w:asciiTheme="minorHAnsi" w:hAnsiTheme="minorHAnsi"/>
                <w:sz w:val="22"/>
                <w:szCs w:val="22"/>
                <w:lang w:eastAsia="en-US"/>
              </w:rPr>
              <w:t>Firm/consortium’s experience and reputation in similar assignments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rPr>
              <w:t>Technical Tender and supporting documentation  demonstrating expertise in repair and maintenance of cooling systems</w:t>
            </w:r>
          </w:p>
          <w:p>
            <w:pPr>
              <w:pStyle w:val="61"/>
              <w:numPr>
                <w:ilvl w:val="0"/>
                <w:numId w:val="3"/>
              </w:numPr>
              <w:rPr>
                <w:rFonts w:asciiTheme="minorHAnsi" w:hAnsiTheme="minorHAnsi"/>
                <w:sz w:val="22"/>
                <w:szCs w:val="22"/>
                <w:highlight w:val="yellow"/>
              </w:rPr>
            </w:pPr>
            <w:r>
              <w:rPr>
                <w:rFonts w:asciiTheme="minorHAnsi" w:hAnsiTheme="minorHAnsi"/>
                <w:sz w:val="22"/>
                <w:szCs w:val="22"/>
              </w:rPr>
              <w:t>History of performance (references from at least 2 reliable referee</w:t>
            </w:r>
          </w:p>
          <w:p>
            <w:pPr>
              <w:pStyle w:val="61"/>
              <w:numPr>
                <w:ilvl w:val="0"/>
                <w:numId w:val="3"/>
              </w:numPr>
              <w:rPr>
                <w:rFonts w:asciiTheme="minorHAnsi" w:hAnsiTheme="minorHAnsi"/>
                <w:sz w:val="22"/>
                <w:szCs w:val="22"/>
                <w:highlight w:val="yellow"/>
              </w:rPr>
            </w:pPr>
            <w:r>
              <w:rPr>
                <w:rFonts w:asciiTheme="minorHAnsi" w:hAnsiTheme="minorHAnsi"/>
                <w:sz w:val="22"/>
                <w:szCs w:val="22"/>
              </w:rPr>
              <w:t>Valid business license and registration</w:t>
            </w:r>
          </w:p>
          <w:p>
            <w:pPr>
              <w:pStyle w:val="61"/>
              <w:numPr>
                <w:ilvl w:val="0"/>
                <w:numId w:val="3"/>
              </w:numPr>
              <w:rPr>
                <w:rFonts w:asciiTheme="minorHAnsi" w:hAnsiTheme="minorHAnsi"/>
                <w:sz w:val="22"/>
                <w:szCs w:val="22"/>
                <w:highlight w:val="yellow"/>
              </w:rPr>
            </w:pPr>
            <w:r>
              <w:rPr>
                <w:rFonts w:asciiTheme="minorHAnsi" w:hAnsiTheme="minorHAnsi"/>
                <w:sz w:val="22"/>
                <w:szCs w:val="22"/>
              </w:rPr>
              <w:t>Valid certificate from MELAD</w:t>
            </w:r>
            <w:bookmarkStart w:id="14" w:name="_GoBack"/>
            <w:bookmarkEnd w:id="14"/>
            <w:r>
              <w:rPr>
                <w:rFonts w:asciiTheme="minorHAnsi" w:hAnsiTheme="minorHAnsi"/>
                <w:sz w:val="22"/>
                <w:szCs w:val="22"/>
              </w:rPr>
              <w:t xml:space="preserve"> for handling cooling systems</w:t>
            </w:r>
          </w:p>
        </w:tc>
        <w:tc>
          <w:tcPr>
            <w:tcW w:w="1360" w:type="dxa"/>
            <w:shd w:val="clear" w:color="auto" w:fill="auto"/>
            <w:vAlign w:val="center"/>
          </w:tcPr>
          <w:p>
            <w:pPr>
              <w:pStyle w:val="61"/>
              <w:jc w:val="center"/>
              <w:rPr>
                <w:rFonts w:asciiTheme="minorHAnsi" w:hAnsiTheme="minorHAnsi"/>
                <w:sz w:val="22"/>
                <w:szCs w:val="22"/>
                <w:highlight w:val="yellow"/>
                <w:lang w:val="en-US" w:eastAsia="en-US"/>
              </w:rPr>
            </w:pPr>
            <w:r>
              <w:rPr>
                <w:rFonts w:asciiTheme="minorHAnsi" w:hAnsiTheme="minorHAnsi"/>
                <w:sz w:val="22"/>
                <w:szCs w:val="22"/>
                <w:highlight w:val="yellow"/>
                <w:lang w:val="en-US"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Team composition and qualifications of proposed personnel</w:t>
            </w:r>
          </w:p>
        </w:tc>
        <w:tc>
          <w:tcPr>
            <w:tcW w:w="5367" w:type="dxa"/>
            <w:shd w:val="clear" w:color="auto" w:fill="auto"/>
          </w:tcPr>
          <w:p>
            <w:pPr>
              <w:pStyle w:val="61"/>
              <w:numPr>
                <w:ilvl w:val="0"/>
                <w:numId w:val="4"/>
              </w:numPr>
              <w:rPr>
                <w:rFonts w:asciiTheme="minorHAnsi" w:hAnsiTheme="minorHAnsi"/>
                <w:sz w:val="22"/>
                <w:szCs w:val="22"/>
              </w:rPr>
            </w:pPr>
            <w:r>
              <w:rPr>
                <w:rFonts w:asciiTheme="minorHAnsi" w:hAnsiTheme="minorHAnsi"/>
                <w:sz w:val="22"/>
                <w:szCs w:val="22"/>
              </w:rPr>
              <w:t>Proposed personnel/technicians have the requisite skills and experience to carry out the installation, uninstal</w:t>
            </w:r>
            <w:r>
              <w:rPr>
                <w:rFonts w:asciiTheme="minorHAnsi" w:hAnsiTheme="minorHAnsi"/>
                <w:sz w:val="22"/>
                <w:szCs w:val="22"/>
                <w:lang w:val="en-US"/>
              </w:rPr>
              <w:t xml:space="preserve">l </w:t>
            </w:r>
            <w:r>
              <w:rPr>
                <w:rFonts w:asciiTheme="minorHAnsi" w:hAnsiTheme="minorHAnsi"/>
                <w:sz w:val="22"/>
                <w:szCs w:val="22"/>
              </w:rPr>
              <w:t>and repair of cooling systems</w:t>
            </w:r>
            <w:r>
              <w:rPr>
                <w:rFonts w:asciiTheme="minorHAnsi" w:hAnsiTheme="minorHAnsi"/>
                <w:sz w:val="22"/>
                <w:szCs w:val="22"/>
                <w:lang w:val="en-US"/>
              </w:rPr>
              <w:t xml:space="preserve"> (with their CVs)</w:t>
            </w:r>
          </w:p>
          <w:p>
            <w:pPr>
              <w:pStyle w:val="61"/>
              <w:ind w:left="720"/>
              <w:rPr>
                <w:rFonts w:asciiTheme="minorHAnsi" w:hAnsiTheme="minorHAnsi"/>
                <w:sz w:val="22"/>
                <w:szCs w:val="22"/>
              </w:rPr>
            </w:pPr>
          </w:p>
        </w:tc>
        <w:tc>
          <w:tcPr>
            <w:tcW w:w="1360" w:type="dxa"/>
            <w:shd w:val="clear" w:color="auto" w:fill="auto"/>
            <w:vAlign w:val="center"/>
          </w:tcPr>
          <w:p>
            <w:pPr>
              <w:pStyle w:val="61"/>
              <w:jc w:val="center"/>
              <w:rPr>
                <w:rFonts w:asciiTheme="minorHAnsi" w:hAnsiTheme="minorHAnsi"/>
                <w:sz w:val="22"/>
                <w:szCs w:val="22"/>
                <w:highlight w:val="yellow"/>
                <w:lang w:val="en-US" w:eastAsia="en-US"/>
              </w:rPr>
            </w:pPr>
            <w:r>
              <w:rPr>
                <w:rFonts w:asciiTheme="minorHAnsi" w:hAnsiTheme="minorHAnsi"/>
                <w:sz w:val="22"/>
                <w:szCs w:val="22"/>
                <w:highlight w:val="yellow"/>
                <w:lang w:val="en-US"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both"/>
              <w:rPr>
                <w:rFonts w:asciiTheme="minorHAnsi" w:hAnsiTheme="minorHAnsi"/>
                <w:sz w:val="22"/>
                <w:szCs w:val="22"/>
                <w:lang w:eastAsia="en-US"/>
              </w:rPr>
            </w:pPr>
            <w:r>
              <w:rPr>
                <w:rFonts w:asciiTheme="minorHAnsi" w:hAnsiTheme="minorHAnsi"/>
                <w:sz w:val="22"/>
                <w:szCs w:val="22"/>
                <w:lang w:eastAsia="en-US"/>
              </w:rPr>
              <w:t>Resources availability</w:t>
            </w:r>
          </w:p>
        </w:tc>
        <w:tc>
          <w:tcPr>
            <w:tcW w:w="5367" w:type="dxa"/>
            <w:shd w:val="clear" w:color="auto" w:fill="auto"/>
          </w:tcPr>
          <w:p>
            <w:pPr>
              <w:numPr>
                <w:ilvl w:val="0"/>
                <w:numId w:val="5"/>
              </w:numPr>
              <w:adjustRightInd w:val="0"/>
              <w:rPr>
                <w:rFonts w:asciiTheme="minorHAnsi" w:hAnsiTheme="minorHAnsi" w:eastAsiaTheme="minorEastAsia"/>
                <w:color w:val="000000"/>
                <w:sz w:val="22"/>
                <w:lang w:val="en-GB"/>
              </w:rPr>
            </w:pPr>
            <w:r>
              <w:rPr>
                <w:rFonts w:asciiTheme="minorHAnsi" w:hAnsiTheme="minorHAnsi" w:eastAsiaTheme="minorEastAsia"/>
                <w:color w:val="000000"/>
                <w:sz w:val="22"/>
                <w:lang w:val="en-GB"/>
              </w:rPr>
              <w:t>List and evidence of tools, plants, and other materials necessary for the service</w:t>
            </w:r>
          </w:p>
          <w:p>
            <w:pPr>
              <w:numPr>
                <w:ilvl w:val="0"/>
                <w:numId w:val="5"/>
              </w:numPr>
              <w:adjustRightInd w:val="0"/>
              <w:rPr>
                <w:rFonts w:asciiTheme="minorHAnsi" w:hAnsiTheme="minorHAnsi" w:eastAsiaTheme="minorEastAsia"/>
                <w:color w:val="000000"/>
                <w:sz w:val="22"/>
                <w:lang w:val="en-GB"/>
              </w:rPr>
            </w:pPr>
            <w:r>
              <w:rPr>
                <w:rFonts w:asciiTheme="minorHAnsi" w:hAnsiTheme="minorHAnsi" w:eastAsiaTheme="minorEastAsia"/>
                <w:color w:val="000000"/>
                <w:sz w:val="22"/>
                <w:lang w:val="en-GB"/>
              </w:rPr>
              <w:t>Evidence for provision of new air condition units, accessories and spare parts where required</w:t>
            </w:r>
          </w:p>
        </w:tc>
        <w:tc>
          <w:tcPr>
            <w:tcW w:w="1360" w:type="dxa"/>
            <w:shd w:val="clear" w:color="auto" w:fill="auto"/>
            <w:vAlign w:val="center"/>
          </w:tcPr>
          <w:p>
            <w:pPr>
              <w:pStyle w:val="61"/>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pPr>
        <w:spacing w:before="120"/>
        <w:ind w:left="709"/>
        <w:rPr>
          <w:i/>
          <w:iCs/>
          <w:lang w:val="en-GB"/>
        </w:rPr>
      </w:pPr>
      <w:bookmarkStart w:id="9"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9"/>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0" w:name="_Toc374271007"/>
      <w:r>
        <w:rPr>
          <w:lang w:val="en-GB"/>
        </w:rPr>
        <w:t>Evaluation of financial components</w:t>
      </w:r>
      <w:bookmarkEnd w:id="10"/>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1" w:name="_Toc374271008"/>
      <w:r>
        <w:rPr>
          <w:lang w:val="en-GB"/>
        </w:rPr>
        <w:t>Evaluation of technical and financial components for total scoring</w:t>
      </w:r>
      <w:bookmarkEnd w:id="11"/>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2" w:name="_Hlk26878494"/>
      <w:r>
        <w:rPr>
          <w:rFonts w:ascii="Calibri" w:hAnsi="Calibri"/>
          <w:b/>
          <w:lang w:val="en-GB"/>
        </w:rPr>
        <w:t>E = (ts * tw) + ((tc / lc) * fw)</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3"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3"/>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2"/>
    </w:p>
    <w:p>
      <w:pPr>
        <w:ind w:left="1701"/>
        <w:rPr>
          <w:rFonts w:ascii="Calibri" w:hAnsi="Calibri"/>
          <w:sz w:val="20"/>
          <w:szCs w:val="20"/>
          <w:lang w:val="en-GB"/>
        </w:rPr>
      </w:pPr>
      <w:r>
        <w:rPr>
          <w:rFonts w:ascii="Calibri" w:hAnsi="Calibri"/>
          <w:sz w:val="20"/>
          <w:szCs w:val="20"/>
          <w:lang w:val="en-GB"/>
        </w:rPr>
        <w:t>fw = financial weight</w:t>
      </w:r>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3" w:type="first"/>
      <w:footerReference r:id="rId4" w:type="default"/>
      <w:type w:val="oddPage"/>
      <w:pgSz w:w="11907" w:h="16839"/>
      <w:pgMar w:top="1135" w:right="1152" w:bottom="1080" w:left="1152" w:header="284"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2021-05-12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asciiTheme="minorHAnsi" w:hAnsiTheme="minorHAnsi" w:cstheme="minorHAnsi"/>
        <w:szCs w:val="24"/>
      </w:rPr>
      <w:fldChar w:fldCharType="begin"/>
    </w:r>
    <w:r>
      <w:rPr>
        <w:rFonts w:asciiTheme="minorHAnsi" w:hAnsiTheme="minorHAnsi" w:cstheme="minorHAnsi"/>
        <w:szCs w:val="24"/>
      </w:rPr>
      <w:instrText xml:space="preserve"> REF Number \h  \* MERGEFORMAT </w:instrText>
    </w:r>
    <w:r>
      <w:rPr>
        <w:rFonts w:asciiTheme="minorHAnsi" w:hAnsiTheme="minorHAnsi" w:cstheme="minorHAnsi"/>
        <w:szCs w:val="24"/>
      </w:rPr>
      <w:fldChar w:fldCharType="separate"/>
    </w:r>
    <w:r>
      <w:rPr>
        <w:rStyle w:val="31"/>
        <w:rFonts w:asciiTheme="minorHAnsi" w:hAnsiTheme="minorHAnsi" w:cstheme="minorHAnsi"/>
        <w:szCs w:val="24"/>
      </w:rPr>
      <w:t>RFQ-MXXX-2020-000</w:t>
    </w:r>
    <w:r>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E73DE"/>
    <w:multiLevelType w:val="multilevel"/>
    <w:tmpl w:val="14BE73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C26005C"/>
    <w:multiLevelType w:val="multilevel"/>
    <w:tmpl w:val="4C2600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F1E"/>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843"/>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638"/>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6CC4"/>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E3D"/>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256C3"/>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2AE"/>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471A"/>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269F06B7"/>
    <w:rsid w:val="26FD69AF"/>
    <w:rsid w:val="7A6B0BF3"/>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qFormat/>
    <w:uiPriority w:val="0"/>
    <w:pPr>
      <w:spacing w:after="120"/>
    </w:pPr>
    <w:rPr>
      <w:sz w:val="16"/>
      <w:szCs w:val="16"/>
    </w:rPr>
  </w:style>
  <w:style w:type="paragraph" w:styleId="17">
    <w:name w:val="Body Text Indent"/>
    <w:basedOn w:val="1"/>
    <w:link w:val="57"/>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qFormat/>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qFormat/>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uiPriority w:val="0"/>
    <w:rPr>
      <w:rFonts w:ascii="Calibri" w:hAnsi="Calibri"/>
      <w:b/>
      <w:sz w:val="36"/>
      <w:szCs w:val="24"/>
      <w:lang w:bidi="ar-SA"/>
    </w:rPr>
  </w:style>
  <w:style w:type="character" w:customStyle="1" w:styleId="51">
    <w:name w:val="Heading 5 Char"/>
    <w:link w:val="6"/>
    <w:uiPriority w:val="0"/>
    <w:rPr>
      <w:sz w:val="24"/>
    </w:rPr>
  </w:style>
  <w:style w:type="character" w:customStyle="1" w:styleId="52">
    <w:name w:val="Footnote Text Char"/>
    <w:link w:val="23"/>
    <w:semiHidden/>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uiPriority w:val="99"/>
    <w:rPr>
      <w:rFonts w:ascii="Arial" w:hAnsi="Arial"/>
      <w:lang w:val="de-DE" w:eastAsia="de-DE"/>
    </w:rPr>
  </w:style>
  <w:style w:type="character" w:customStyle="1" w:styleId="55">
    <w:name w:val="green_14"/>
    <w:basedOn w:val="12"/>
    <w:uiPriority w:val="0"/>
  </w:style>
  <w:style w:type="character" w:customStyle="1" w:styleId="56">
    <w:name w:val="Footer Char"/>
    <w:link w:val="21"/>
    <w:uiPriority w:val="99"/>
    <w:rPr>
      <w:sz w:val="24"/>
    </w:rPr>
  </w:style>
  <w:style w:type="character" w:customStyle="1" w:styleId="57">
    <w:name w:val="Body Text Indent Char"/>
    <w:link w:val="17"/>
    <w:uiPriority w:val="0"/>
    <w:rPr>
      <w:sz w:val="24"/>
    </w:rPr>
  </w:style>
  <w:style w:type="character" w:customStyle="1" w:styleId="58">
    <w:name w:val="Plain Text Char"/>
    <w:link w:val="30"/>
    <w:uiPriority w:val="0"/>
    <w:rPr>
      <w:rFonts w:ascii="Consolas" w:hAnsi="Consolas" w:eastAsia="Calibri"/>
      <w:sz w:val="21"/>
      <w:szCs w:val="21"/>
    </w:rPr>
  </w:style>
  <w:style w:type="character" w:customStyle="1" w:styleId="59">
    <w:name w:val="Body Text 3 Char"/>
    <w:link w:val="16"/>
    <w:uiPriority w:val="0"/>
    <w:rPr>
      <w:sz w:val="16"/>
      <w:szCs w:val="16"/>
    </w:rPr>
  </w:style>
  <w:style w:type="paragraph" w:customStyle="1" w:styleId="60">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uiPriority w:val="0"/>
    <w:rPr>
      <w:rFonts w:ascii="Calibri" w:hAnsi="Calibri"/>
      <w:kern w:val="2"/>
      <w:sz w:val="24"/>
      <w:szCs w:val="24"/>
      <w:lang w:eastAsia="ko-KR" w:bidi="ar-SA"/>
    </w:rPr>
  </w:style>
  <w:style w:type="paragraph" w:customStyle="1" w:styleId="64">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uiPriority w:val="0"/>
    <w:pPr>
      <w:numPr>
        <w:ilvl w:val="1"/>
      </w:numPr>
    </w:pPr>
  </w:style>
  <w:style w:type="paragraph" w:customStyle="1" w:styleId="67">
    <w:name w:val="03 open square bullet"/>
    <w:basedOn w:val="66"/>
    <w:uiPriority w:val="0"/>
    <w:pPr>
      <w:numPr>
        <w:ilvl w:val="2"/>
      </w:numPr>
      <w:ind w:left="936" w:hanging="288"/>
    </w:pPr>
  </w:style>
  <w:style w:type="paragraph" w:customStyle="1" w:styleId="68">
    <w:name w:val="04 short dash"/>
    <w:basedOn w:val="67"/>
    <w:uiPriority w:val="0"/>
    <w:pPr>
      <w:numPr>
        <w:ilvl w:val="3"/>
      </w:numPr>
    </w:pPr>
  </w:style>
  <w:style w:type="paragraph" w:customStyle="1" w:styleId="69">
    <w:name w:val="05 number/1"/>
    <w:basedOn w:val="1"/>
    <w:uiPriority w:val="0"/>
    <w:pPr>
      <w:numPr>
        <w:ilvl w:val="0"/>
        <w:numId w:val="2"/>
      </w:numPr>
      <w:spacing w:after="120"/>
    </w:pPr>
    <w:rPr>
      <w:rFonts w:eastAsia="Batang"/>
      <w:sz w:val="26"/>
      <w:lang w:eastAsia="ko-KR"/>
    </w:rPr>
  </w:style>
  <w:style w:type="paragraph" w:customStyle="1" w:styleId="70">
    <w:name w:val="06 letter/2"/>
    <w:basedOn w:val="1"/>
    <w:uiPriority w:val="0"/>
    <w:pPr>
      <w:numPr>
        <w:ilvl w:val="1"/>
        <w:numId w:val="2"/>
      </w:numPr>
      <w:spacing w:after="120"/>
      <w:outlineLvl w:val="1"/>
    </w:pPr>
    <w:rPr>
      <w:rFonts w:eastAsia="Batang"/>
      <w:sz w:val="26"/>
      <w:lang w:eastAsia="ko-KR"/>
    </w:rPr>
  </w:style>
  <w:style w:type="paragraph" w:customStyle="1" w:styleId="71">
    <w:name w:val="07 number/3"/>
    <w:basedOn w:val="1"/>
    <w:uiPriority w:val="0"/>
    <w:pPr>
      <w:numPr>
        <w:ilvl w:val="2"/>
        <w:numId w:val="2"/>
      </w:numPr>
      <w:spacing w:after="120"/>
      <w:outlineLvl w:val="7"/>
    </w:pPr>
    <w:rPr>
      <w:rFonts w:eastAsia="Batang"/>
      <w:sz w:val="26"/>
      <w:lang w:eastAsia="ko-KR"/>
    </w:rPr>
  </w:style>
  <w:style w:type="paragraph" w:customStyle="1" w:styleId="72">
    <w:name w:val="08 letter/4"/>
    <w:basedOn w:val="1"/>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uiPriority w:val="1"/>
    <w:rPr>
      <w:rFonts w:ascii="Calibri" w:hAnsi="Calibri" w:eastAsia="MS Mincho"/>
      <w:sz w:val="22"/>
      <w:szCs w:val="22"/>
      <w:lang w:eastAsia="en-GB" w:bidi="ar-SA"/>
    </w:rPr>
  </w:style>
  <w:style w:type="character" w:customStyle="1" w:styleId="77">
    <w:name w:val="Heading 2 Char"/>
    <w:link w:val="3"/>
    <w:uiPriority w:val="0"/>
    <w:rPr>
      <w:rFonts w:ascii="Calibri" w:hAnsi="Calibri"/>
      <w:b/>
      <w:sz w:val="32"/>
      <w:szCs w:val="32"/>
      <w:lang w:val="en-GB" w:eastAsia="en-US" w:bidi="ar-SA"/>
    </w:rPr>
  </w:style>
  <w:style w:type="paragraph" w:customStyle="1" w:styleId="78">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79">
    <w:name w:val="Pie de página Car"/>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uiPriority w:val="0"/>
  </w:style>
  <w:style w:type="paragraph" w:customStyle="1" w:styleId="83">
    <w:name w:val="Style Heading 4 + +Body (Calibri)"/>
    <w:basedOn w:val="5"/>
    <w:uiPriority w:val="0"/>
    <w:pPr>
      <w:spacing w:before="360"/>
    </w:pPr>
    <w:rPr>
      <w:i w:val="0"/>
      <w:szCs w:val="22"/>
      <w:u w:val="single"/>
      <w:lang w:eastAsia="ko-KR"/>
    </w:rPr>
  </w:style>
  <w:style w:type="character" w:customStyle="1" w:styleId="84">
    <w:name w:val="Heading 3 Char"/>
    <w:basedOn w:val="12"/>
    <w:link w:val="4"/>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757A11-25E5-43A4-84D4-69797ABA9B91}">
  <ds:schemaRefs/>
</ds:datastoreItem>
</file>

<file path=customXml/itemProps3.xml><?xml version="1.0" encoding="utf-8"?>
<ds:datastoreItem xmlns:ds="http://schemas.openxmlformats.org/officeDocument/2006/customXml" ds:itemID="{C937BD10-D70C-4AAE-A8A1-EB23A4C67247}">
  <ds:schemaRefs/>
</ds:datastoreItem>
</file>

<file path=customXml/itemProps4.xml><?xml version="1.0" encoding="utf-8"?>
<ds:datastoreItem xmlns:ds="http://schemas.openxmlformats.org/officeDocument/2006/customXml" ds:itemID="{D23A6007-3257-4693-8AC2-717931677C20}">
  <ds:schemaRefs/>
</ds:datastoreItem>
</file>

<file path=customXml/itemProps5.xml><?xml version="1.0" encoding="utf-8"?>
<ds:datastoreItem xmlns:ds="http://schemas.openxmlformats.org/officeDocument/2006/customXml" ds:itemID="{693E7E5E-BE75-428E-9F06-983711695A79}">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812</Words>
  <Characters>4633</Characters>
  <Lines>38</Lines>
  <Paragraphs>10</Paragraphs>
  <TotalTime>6</TotalTime>
  <ScaleCrop>false</ScaleCrop>
  <LinksUpToDate>false</LinksUpToDate>
  <CharactersWithSpaces>5435</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2021-04-30T00:35:00Z</dcterms:created>
  <dc:creator>jason.lee@gggi.org;Jisu Min</dc:creator>
  <cp:lastModifiedBy>tneemia</cp:lastModifiedBy>
  <cp:lastPrinted>2016-10-18T02:57:00Z</cp:lastPrinted>
  <dcterms:modified xsi:type="dcterms:W3CDTF">2021-05-11T22:50:06Z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1033-11.2.0.10132</vt:lpwstr>
  </property>
</Properties>
</file>